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2b767a4b20e1b9d448cca2be3706dd17b758ab"/>
    <w:p>
      <w:pPr>
        <w:pStyle w:val="Heading3"/>
      </w:pPr>
      <w:r>
        <w:t xml:space="preserve">Эксперты столичного Роскадастра ответили на вопросы предоставления сведений из ЕГРН</w:t>
      </w:r>
    </w:p>
    <w:p>
      <w:pPr>
        <w:pStyle w:val="FirstParagraph"/>
      </w:pPr>
      <w:r>
        <w:t xml:space="preserve">26.06.2025</w:t>
      </w:r>
    </w:p>
    <w:p>
      <w:pPr>
        <w:pStyle w:val="BodyText"/>
      </w:pPr>
      <w:r>
        <w:rPr>
          <w:bCs/>
          <w:b/>
        </w:rPr>
        <w:t xml:space="preserve">В столичный Роскадастр продолжают поступать вопросы граждан</w:t>
      </w:r>
      <w:r>
        <w:br/>
      </w:r>
      <w:r>
        <w:rPr>
          <w:bCs/>
          <w:b/>
        </w:rPr>
        <w:t xml:space="preserve">о выписках из Единого государственного реестра недвижимости (ЕГРН).</w:t>
      </w:r>
      <w:r>
        <w:br/>
      </w:r>
      <w:r>
        <w:rPr>
          <w:bCs/>
          <w:b/>
        </w:rPr>
        <w:t xml:space="preserve">В рубрике «вопрос-ответ» эксперты компании пояснили тонкости оказания государственной услуги.</w:t>
      </w:r>
    </w:p>
    <w:p>
      <w:pPr>
        <w:pStyle w:val="BodyText"/>
      </w:pPr>
      <w:r>
        <w:rPr>
          <w:bCs/>
          <w:b/>
        </w:rPr>
        <w:t xml:space="preserve">Вопрос:</w:t>
      </w:r>
      <w:r>
        <w:t xml:space="preserve"> </w:t>
      </w:r>
      <w:r>
        <w:t xml:space="preserve">Как получить сведения из ЕГРН о наличии недвижимого имущества у детей?</w:t>
      </w:r>
    </w:p>
    <w:p>
      <w:pPr>
        <w:pStyle w:val="BodyText"/>
      </w:pPr>
      <w:r>
        <w:rPr>
          <w:bCs/>
          <w:b/>
        </w:rPr>
        <w:t xml:space="preserve">Ответ:</w:t>
      </w:r>
      <w:r>
        <w:t xml:space="preserve"> </w:t>
      </w:r>
      <w:r>
        <w:t xml:space="preserve">Сведения о наличии или отсутствии у конкретного лица прав</w:t>
      </w:r>
      <w:r>
        <w:br/>
      </w:r>
      <w:r>
        <w:t xml:space="preserve">на объекты недвижимости отражаются в выписке из Единого государственного реестра недвижимости (ЕГРН) о правах отдельного лица на имеющиеся или имевшиеся у него объекты недвижимости.</w:t>
      </w:r>
    </w:p>
    <w:p>
      <w:pPr>
        <w:pStyle w:val="BodyText"/>
      </w:pPr>
      <w:r>
        <w:t xml:space="preserve">Подать запрос на получение сведений из ЕГРН от имени несовершеннолетнего возможно в форме бумажного документа:</w:t>
      </w:r>
    </w:p>
    <w:p>
      <w:pPr>
        <w:pStyle w:val="BodyText"/>
      </w:pPr>
      <w:r>
        <w:t xml:space="preserve">- при личном обращении несовершеннолетнего старше 14 лет в МФЦ,</w:t>
      </w:r>
      <w:r>
        <w:br/>
      </w:r>
      <w:r>
        <w:t xml:space="preserve">с предъявлением документа, удостоверяющего личность;</w:t>
      </w:r>
    </w:p>
    <w:p>
      <w:pPr>
        <w:pStyle w:val="BodyText"/>
      </w:pPr>
      <w:r>
        <w:t xml:space="preserve">- при личном обращении представителя несовершеннолетнего старше 14 лет</w:t>
      </w:r>
      <w:r>
        <w:br/>
      </w:r>
      <w:r>
        <w:t xml:space="preserve">в МФЦ, с предоставлением оригинала нотариально удостоверенной доверенности (либо ее копии), выданной правообладателем;</w:t>
      </w:r>
    </w:p>
    <w:p>
      <w:pPr>
        <w:pStyle w:val="BodyText"/>
      </w:pPr>
      <w:r>
        <w:t xml:space="preserve">- при личном обращении родителей либо законного представителя несовершеннолетнего до 14 лет в МФЦ, на основании свидетельства о рождении либо документа, выданного уполномоченным органом, подтверждающего полномочия представителя (или нотариально заверенной копии документа).</w:t>
      </w:r>
    </w:p>
    <w:p>
      <w:pPr>
        <w:pStyle w:val="BodyText"/>
      </w:pPr>
      <w:r>
        <w:t xml:space="preserve">Для родителей к запросу о предоставлении сведений в отношении ребенка прилагается копия свидетельства о рождении, для опекуна - документ о назначении его опекуном.</w:t>
      </w:r>
    </w:p>
    <w:p>
      <w:pPr>
        <w:pStyle w:val="BodyText"/>
      </w:pPr>
      <w:r>
        <w:rPr>
          <w:iCs/>
          <w:i/>
        </w:rPr>
        <w:t xml:space="preserve">«Также пользователям портала Госуслуг с подтверждённой учётной записью, достигшим 14 лет, доступна услуга по предоставлению сведений из ЕГРН в виде выписки. Услуга оказывается в электронном виде в течение трех рабочих дней»,</w:t>
      </w:r>
      <w:r>
        <w:t xml:space="preserve"> </w:t>
      </w:r>
      <w:r>
        <w:t xml:space="preserve">– добавил заместитель директора филиала ППК «Роскадастр» по Москве</w:t>
      </w:r>
      <w:r>
        <w:t xml:space="preserve"> </w:t>
      </w:r>
      <w:r>
        <w:rPr>
          <w:bCs/>
          <w:b/>
        </w:rPr>
        <w:t xml:space="preserve">Алексей Некрасов.</w:t>
      </w:r>
    </w:p>
    <w:p>
      <w:pPr>
        <w:pStyle w:val="BodyText"/>
      </w:pPr>
      <w:r>
        <w:rPr>
          <w:bCs/>
          <w:b/>
        </w:rPr>
        <w:t xml:space="preserve">Вопрос:</w:t>
      </w:r>
      <w:r>
        <w:t xml:space="preserve"> </w:t>
      </w:r>
      <w:r>
        <w:t xml:space="preserve">Требуется ли согласие родителей для направления запроса сведения из ЕГРН от сына, которому пятнадцать лет?</w:t>
      </w:r>
    </w:p>
    <w:p>
      <w:pPr>
        <w:pStyle w:val="BodyText"/>
      </w:pPr>
      <w:r>
        <w:rPr>
          <w:bCs/>
          <w:b/>
        </w:rPr>
        <w:t xml:space="preserve">Ответ:</w:t>
      </w:r>
      <w:r>
        <w:t xml:space="preserve"> </w:t>
      </w:r>
      <w:r>
        <w:t xml:space="preserve">Исходя из статьи 26 Гражданского кодекса Российской Федерации, согласие законных представителей несовершеннолетним лицам, достигшим 14 лет, на получение сведений из ЕГРН (в частности, на подачу запроса) не требуется.</w:t>
      </w:r>
    </w:p>
    <w:p>
      <w:pPr>
        <w:pStyle w:val="BodyText"/>
      </w:pPr>
      <w:r>
        <w:rPr>
          <w:bCs/>
          <w:b/>
        </w:rPr>
        <w:t xml:space="preserve">Вопрос:</w:t>
      </w:r>
      <w:r>
        <w:t xml:space="preserve"> </w:t>
      </w:r>
      <w:r>
        <w:t xml:space="preserve">Относится ли заграничный паспорт гражданина Российской Федерации к документам, удостоверяющим личность, при подаче запроса о предоставлении сведений ЕГРН?</w:t>
      </w:r>
    </w:p>
    <w:p>
      <w:pPr>
        <w:pStyle w:val="BodyText"/>
      </w:pPr>
      <w:r>
        <w:rPr>
          <w:bCs/>
          <w:b/>
        </w:rPr>
        <w:t xml:space="preserve">Ответ:</w:t>
      </w:r>
      <w:r>
        <w:t xml:space="preserve"> </w:t>
      </w:r>
      <w:r>
        <w:t xml:space="preserve">Заграничный паспорт не является документом, удостоверяющим личность гражданина Российской Федерации на территории Российской Федерации.</w:t>
      </w:r>
    </w:p>
    <w:p>
      <w:pPr>
        <w:pStyle w:val="BodyText"/>
      </w:pPr>
      <w:r>
        <w:t xml:space="preserve">На основании положений Указа Президента Российской Федерации от 21.12.1996 № 1752 «Об основных документах, удостоверяющих личность гражданина Российской Федерации за пределами Российской Федерации», а также Указа Президента Российской Федерации от 19.10.2005 № 1222 «Об основных документах, удостоверяющих личность гражданина Российской Федерации за пределами территории Российской Федерации, содержащих электронные носители информации», заграничный паспорт гражданина Российской Федерации является основным документом, удостоверяющим личность гражданина Российской Федерации за пределами территории Российской Федерации.</w:t>
      </w:r>
    </w:p>
    <w:p>
      <w:pPr>
        <w:pStyle w:val="BodyText"/>
      </w:pPr>
      <w:r>
        <w:t xml:space="preserve">Учитывая изложенное, полагаем, что паспорт гражданина Российской Федерации является документом, удостоверяющим личность гражданина Российской Федерации на территории Российской Федерации (предъявляется при оформлении и получении результата государственной услуги заявителем лично), тогда как заграничный паспорт гражданина Российской Федерации является документом, удостоверяющим личность гражданина Российской Федерации при выезде или въезде в страну и на территории иного государства (может быть использован за пределами территории Российской Федерации, в том числе для оформления доверенности в консульском учреждении Российской Федерации).</w:t>
      </w:r>
    </w:p>
    <w:p>
      <w:pPr>
        <w:pStyle w:val="BodyText"/>
      </w:pPr>
      <w:r>
        <w:t xml:space="preserve">Напомним, получить общедоступные сведения из ЕГРН в электронном виде может любое заинтересованное лицо, воспользовавшись</w:t>
      </w:r>
      <w:r>
        <w:t xml:space="preserve"> </w:t>
      </w:r>
      <w:hyperlink r:id="rId20">
        <w:r>
          <w:rPr>
            <w:rStyle w:val="Hyperlink"/>
          </w:rPr>
          <w:t xml:space="preserve">Единым порталом государственных и муниципальных услуг</w:t>
        </w:r>
      </w:hyperlink>
      <w:r>
        <w:t xml:space="preserve">, доступ к которому возможен через официальный сайт</w:t>
      </w:r>
      <w:r>
        <w:t xml:space="preserve"> </w:t>
      </w:r>
      <w:hyperlink r:id="rId21">
        <w:r>
          <w:rPr>
            <w:rStyle w:val="Hyperlink"/>
          </w:rPr>
          <w:t xml:space="preserve">Роскадастра</w:t>
        </w:r>
      </w:hyperlink>
      <w:r>
        <w:t xml:space="preserve">.</w:t>
      </w:r>
    </w:p>
    <w:p>
      <w:pPr>
        <w:pStyle w:val="BodyText"/>
      </w:pPr>
      <w:r>
        <w:t xml:space="preserve">По любым вопросам, касающимся деятельности учреждения, можно обращаться по номеру Ведомственного центра телефонного обслуживания (ВЦТО)</w:t>
      </w:r>
      <w:r>
        <w:t xml:space="preserve"> </w:t>
      </w:r>
      <w:r>
        <w:rPr>
          <w:bCs/>
          <w:b/>
        </w:rPr>
        <w:t xml:space="preserve">8-800-100-34-34</w:t>
      </w:r>
      <w:r>
        <w:t xml:space="preserve"> </w:t>
      </w:r>
      <w:r>
        <w:t xml:space="preserve">(звонок бесплатный).</w:t>
      </w:r>
    </w:p>
    <w:p>
      <w:pPr>
        <w:pStyle w:val="BodyText"/>
      </w:pPr>
      <w:r>
        <w:br/>
      </w:r>
    </w:p>
    <w:p>
      <w:pPr>
        <w:pStyle w:val="BodyText"/>
      </w:pPr>
      <w:r>
        <w:t xml:space="preserve">Адрес страницы:</w:t>
      </w:r>
      <w:r>
        <w:t xml:space="preserve"> </w:t>
      </w:r>
      <w:hyperlink r:id="rId22">
        <w:r>
          <w:rPr>
            <w:rStyle w:val="Hyperlink"/>
          </w:rPr>
          <w:t xml:space="preserve">http://kotlovka.mos.ru/presscenter/inform/detail/13066074.html</w:t>
        </w:r>
      </w:hyperlink>
    </w:p>
    <w:p>
      <w:pPr>
        <w:pStyle w:val="BodyText"/>
      </w:pPr>
      <w:hyperlink r:id="rId23">
        <w:r>
          <w:rPr>
            <w:rStyle w:val="Hyperlink"/>
          </w:rPr>
          <w:t xml:space="preserve">Управа района Котловка города Москвы</w:t>
        </w:r>
      </w:hyperlink>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kotlovka.mos.ru" TargetMode="External" /><Relationship Type="http://schemas.openxmlformats.org/officeDocument/2006/relationships/hyperlink" Id="rId22" Target="http://kotlovka.mos.ru/presscenter/inform/detail/13066074.html" TargetMode="External" /><Relationship Type="http://schemas.openxmlformats.org/officeDocument/2006/relationships/hyperlink" Id="rId21" Target="https://kadastr.ru/services/zakaz-vypisok-iz-egrn3442/" TargetMode="External" /><Relationship Type="http://schemas.openxmlformats.org/officeDocument/2006/relationships/hyperlink" Id="rId20" Target="https://www.gosuslugi.ru/egrn" TargetMode="External" /></Relationships>
</file>

<file path=word/_rels/footnotes.xml.rels><?xml version="1.0" encoding="UTF-8"?><Relationships xmlns="http://schemas.openxmlformats.org/package/2006/relationships"><Relationship Type="http://schemas.openxmlformats.org/officeDocument/2006/relationships/hyperlink" Id="rId23" Target="http://kotlovka.mos.ru" TargetMode="External" /><Relationship Type="http://schemas.openxmlformats.org/officeDocument/2006/relationships/hyperlink" Id="rId22" Target="http://kotlovka.mos.ru/presscenter/inform/detail/13066074.html" TargetMode="External" /><Relationship Type="http://schemas.openxmlformats.org/officeDocument/2006/relationships/hyperlink" Id="rId21" Target="https://kadastr.ru/services/zakaz-vypisok-iz-egrn3442/" TargetMode="External" /><Relationship Type="http://schemas.openxmlformats.org/officeDocument/2006/relationships/hyperlink" Id="rId20" Target="https://www.gosuslugi.ru/egr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2025-06-26T14:13:04Z</dcterms:created>
  <dcterms:modified xsi:type="dcterms:W3CDTF">2025-06-26T14:13:04Z</dcterms:modified>
</cp:coreProperties>
</file>

<file path=docProps/custom.xml><?xml version="1.0" encoding="utf-8"?>
<Properties xmlns="http://schemas.openxmlformats.org/officeDocument/2006/custom-properties" xmlns:vt="http://schemas.openxmlformats.org/officeDocument/2006/docPropsVTypes"/>
</file>