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граничения-при-приеме-на-работу"/>
    <w:p>
      <w:pPr>
        <w:pStyle w:val="Heading3"/>
      </w:pPr>
      <w:r>
        <w:t xml:space="preserve">Ограничения при приеме на работу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С 1 марта 2023 года ТК РФ дополнен новой статьей 328.1 «Ограничения на занятие трудовой деятельностью, непосредственно связанной с управлением легковыми такси, автобусами, трамваями, троллейбусами и подвижным составом внеуличного транспорта при осуществлении перевозок пассажиров и багажа».</w:t>
      </w:r>
    </w:p>
    <w:p>
      <w:pPr>
        <w:pStyle w:val="BodyText"/>
      </w:pPr>
      <w:r>
        <w:t xml:space="preserve">В соответствии с ч. 1 ст. 328.1 ТК РФ к трудовой деятельности, непосредственно связанной с управлением легковыми такси при осуществлении перевозок пассажиров и багажа, не допускаются лица, имеющие неснятую или непогашенную судимость за совершение следующих преступлений либо подвергающиеся уголовному преследованию за следующие преступления:</w:t>
      </w:r>
    </w:p>
    <w:p>
      <w:pPr>
        <w:pStyle w:val="BodyText"/>
      </w:pPr>
      <w:r>
        <w:t xml:space="preserve">1. Убийство;</w:t>
      </w:r>
    </w:p>
    <w:p>
      <w:pPr>
        <w:pStyle w:val="BodyText"/>
      </w:pPr>
      <w:r>
        <w:t xml:space="preserve">2. умышленное причинение тяжкого вреда здоровью;</w:t>
      </w:r>
    </w:p>
    <w:p>
      <w:pPr>
        <w:pStyle w:val="BodyText"/>
      </w:pPr>
      <w:r>
        <w:t xml:space="preserve">3. похищение человека;</w:t>
      </w:r>
    </w:p>
    <w:p>
      <w:pPr>
        <w:pStyle w:val="BodyText"/>
      </w:pPr>
      <w:r>
        <w:t xml:space="preserve">4. грабеж или разбой;</w:t>
      </w:r>
    </w:p>
    <w:p>
      <w:pPr>
        <w:pStyle w:val="BodyText"/>
      </w:pPr>
      <w:r>
        <w:t xml:space="preserve">5. преступления против половой неприкосновенности и половой свободы личности;</w:t>
      </w:r>
    </w:p>
    <w:p>
      <w:pPr>
        <w:pStyle w:val="BodyText"/>
      </w:pPr>
      <w:r>
        <w:t xml:space="preserve">6. преступления против общественной безопасности;</w:t>
      </w:r>
    </w:p>
    <w:p>
      <w:pPr>
        <w:pStyle w:val="BodyText"/>
      </w:pPr>
      <w:r>
        <w:t xml:space="preserve">7. преступления против основ конституционного строя и безопасности государства и против мира и безопасности человечества, относящиеся в соответствии с Уголовным Кодексом Российской Федерации к преступлениям средней тяжести, тяжким и особо тяжким преступлениям;</w:t>
      </w:r>
    </w:p>
    <w:p>
      <w:pPr>
        <w:pStyle w:val="BodyText"/>
      </w:pPr>
      <w:r>
        <w:t xml:space="preserve">8. преступления, предусмотренные законодательством другого государства - члена Евразийского экономического союза, соответствующие вышеуказанным преступлениям.</w:t>
      </w:r>
    </w:p>
    <w:p>
      <w:pPr>
        <w:pStyle w:val="BodyText"/>
      </w:pPr>
      <w:r>
        <w:t xml:space="preserve">Также согласно ч. 2 ст. 328.1 ТК РФ запрещается допуск к трудовой деятельности, непосредственно связанной с управлением автобусами, трамваями, троллейбусами и подвижным составом внеуличного транспорта при осуществлении перевозок пассажиров и багажа, лиц, имеющих неснятую или непогашенную судимость за совершение следующих преступлений либо подвергающиеся уголовному преследованию за такие преступления, как:</w:t>
      </w:r>
    </w:p>
    <w:p>
      <w:pPr>
        <w:pStyle w:val="BodyText"/>
      </w:pPr>
      <w:r>
        <w:t xml:space="preserve">1. преступления против общественной безопасности;</w:t>
      </w:r>
    </w:p>
    <w:p>
      <w:pPr>
        <w:pStyle w:val="BodyText"/>
      </w:pPr>
      <w:r>
        <w:t xml:space="preserve">2. преступления против основ конституционного строя и безопасности государства;</w:t>
      </w:r>
    </w:p>
    <w:p>
      <w:pPr>
        <w:pStyle w:val="BodyText"/>
      </w:pPr>
      <w:r>
        <w:t xml:space="preserve">3. преступления против мира и безопасности человечества, относящиеся в соответствии с Уголовным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к тяжким и особо тяжким преступлениям;</w:t>
      </w:r>
    </w:p>
    <w:p>
      <w:pPr>
        <w:pStyle w:val="BodyText"/>
      </w:pPr>
      <w:r>
        <w:t xml:space="preserve">4. преступления, предусмотренные законодательством другого государства - члена Евразийского экономического союза, соответствующие вышеперечисленным преступлениям.</w:t>
      </w:r>
    </w:p>
    <w:p>
      <w:pPr>
        <w:pStyle w:val="BodyText"/>
      </w:pPr>
      <w:r>
        <w:t xml:space="preserve">При заключении трудового договора наряду с документами, предусмотренными ст. 65 ТК РФ, работодателям необходимо требовать от соответствующих лиц справку об отсутствии судимости, уголовного преследования по вышеуказанным преступлениям либо о прекращении уголовного преследования по реабилитирующим основаниям, выданная компетентным органом. В случае получения от правоохранительных органов сведений о том, что соответствующий работник подвергается уголовному преследованию по данным преступления, работодатель обязан отстранить его от работы на весь период производства по уголовному делу до его прекращения либо до вступления в силу приговора суда.</w:t>
      </w:r>
    </w:p>
    <w:p>
      <w:pPr>
        <w:pStyle w:val="BodyText"/>
      </w:pPr>
      <w:r>
        <w:t xml:space="preserve">Сотрудники, состоящие в штате по состоянию на 1 марта 2023 года, не позднее 1 сентября 2023 года обязаны предоставить работодателю документ о наличии (отсутствии) судимости за совершение вышеуказанных преступлений, факта уголовного преследования либо о прекращении уголовного преследования по реабилитирующим основаниям, выданную в установленном законом порядке.</w:t>
      </w:r>
    </w:p>
    <w:p>
      <w:pPr>
        <w:pStyle w:val="BodyText"/>
      </w:pPr>
      <w:r>
        <w:t xml:space="preserve">Закон вступил в силу 01.03.2023.</w:t>
      </w:r>
    </w:p>
    <w:p>
      <w:pPr>
        <w:pStyle w:val="BodyText"/>
      </w:pPr>
      <w:r>
        <w:t xml:space="preserve">Межрайонный прокурор Е.В. Кречетова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http://kotlovka.mos.ru/presscenter/article/detail/11964719.html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1964719.html" TargetMode="External" /><Relationship Type="http://schemas.openxmlformats.org/officeDocument/2006/relationships/hyperlink" Id="rId20" Target="https://www.consultant.ru/document/cons_doc_LAW_449686/a0182fc43a8bbf8974658cda72c860ddfb210c52/#dst1000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tlovka.mos.ru" TargetMode="External" /><Relationship Type="http://schemas.openxmlformats.org/officeDocument/2006/relationships/hyperlink" Id="rId21" Target="http://kotlovka.mos.ru/presscenter/article/detail/11964719.html" TargetMode="External" /><Relationship Type="http://schemas.openxmlformats.org/officeDocument/2006/relationships/hyperlink" Id="rId20" Target="https://www.consultant.ru/document/cons_doc_LAW_449686/a0182fc43a8bbf8974658cda72c860ddfb210c52/#dst1000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2025-05-20T21:10:11Z</dcterms:created>
  <dcterms:modified xsi:type="dcterms:W3CDTF">2025-05-20T21:10:11Z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