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6b8beda12faa0b6b4c025b0d2b92a15e22a50"/>
    <w:p>
      <w:pPr>
        <w:pStyle w:val="Heading3"/>
      </w:pPr>
      <w:r>
        <w:t xml:space="preserve">Инспекция Федеральной Налоговой Службы проводит вебинары для налогоплательщиков в 2 квартале 2022. Приглашаем принять участие!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drawing>
          <wp:inline>
            <wp:extent cx="5334000" cy="63808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tlovka.mos.ru/www/upload/medialibrary/f7f/ifn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3808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http://kotlovka.mos.ru/presscenter/article/detail/10761350.html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0761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tlovka.mos.ru" TargetMode="External" /><Relationship Type="http://schemas.openxmlformats.org/officeDocument/2006/relationships/hyperlink" Id="rId23" Target="http://kotlovka.mos.ru/presscenter/article/detail/10761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2025-02-28T12:08:42Z</dcterms:created>
  <dcterms:modified xsi:type="dcterms:W3CDTF">2025-02-28T12:08:42Z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